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2458" w14:textId="197FAE2A" w:rsidR="0099546A" w:rsidRPr="00572A17" w:rsidRDefault="76DE9C1F" w:rsidP="0099546A">
      <w:pPr>
        <w:rPr>
          <w:rFonts w:ascii="Arial" w:hAnsi="Arial" w:cs="Arial"/>
        </w:rPr>
      </w:pPr>
      <w:r w:rsidRPr="592FB3EC">
        <w:rPr>
          <w:rFonts w:ascii="Arial" w:hAnsi="Arial" w:cs="Arial"/>
          <w:b/>
          <w:bCs/>
        </w:rPr>
        <w:t xml:space="preserve">DID - </w:t>
      </w:r>
      <w:r w:rsidR="61EDFE17" w:rsidRPr="592FB3EC">
        <w:rPr>
          <w:rFonts w:ascii="Arial" w:hAnsi="Arial" w:cs="Arial"/>
          <w:b/>
          <w:bCs/>
        </w:rPr>
        <w:t>CAPITAL ASSETS</w:t>
      </w:r>
    </w:p>
    <w:p w14:paraId="13B346D2" w14:textId="6CC1C670" w:rsidR="00154993" w:rsidRPr="00154993" w:rsidRDefault="3784A6F4" w:rsidP="00154993">
      <w:pPr>
        <w:pStyle w:val="NormalWeb"/>
        <w:rPr>
          <w:sz w:val="24"/>
          <w:szCs w:val="24"/>
        </w:rPr>
      </w:pPr>
      <w:r w:rsidRPr="544F42F5">
        <w:rPr>
          <w:sz w:val="24"/>
          <w:szCs w:val="24"/>
        </w:rPr>
        <w:t xml:space="preserve">The </w:t>
      </w:r>
      <w:r w:rsidR="2394FC8E" w:rsidRPr="544F42F5">
        <w:rPr>
          <w:sz w:val="24"/>
          <w:szCs w:val="24"/>
        </w:rPr>
        <w:t xml:space="preserve">Poudre School District invests significant resources in the acquisition and maintenance of </w:t>
      </w:r>
      <w:r w:rsidRPr="544F42F5">
        <w:rPr>
          <w:sz w:val="24"/>
          <w:szCs w:val="24"/>
        </w:rPr>
        <w:t>D</w:t>
      </w:r>
      <w:r w:rsidR="2394FC8E" w:rsidRPr="544F42F5">
        <w:rPr>
          <w:sz w:val="24"/>
          <w:szCs w:val="24"/>
        </w:rPr>
        <w:t xml:space="preserve">istrict property, including capital assets. Capital assets </w:t>
      </w:r>
      <w:r w:rsidR="006D4D49" w:rsidRPr="544F42F5">
        <w:rPr>
          <w:sz w:val="24"/>
          <w:szCs w:val="24"/>
        </w:rPr>
        <w:t xml:space="preserve">include </w:t>
      </w:r>
      <w:r w:rsidR="2394FC8E" w:rsidRPr="544F42F5">
        <w:rPr>
          <w:sz w:val="24"/>
          <w:szCs w:val="24"/>
        </w:rPr>
        <w:t xml:space="preserve">land, land improvements, buildings, building improvements, and </w:t>
      </w:r>
      <w:r w:rsidR="002E36AF" w:rsidRPr="544F42F5">
        <w:rPr>
          <w:sz w:val="24"/>
          <w:szCs w:val="24"/>
        </w:rPr>
        <w:t xml:space="preserve">personal property such as vehicles, furniture, and </w:t>
      </w:r>
      <w:r w:rsidR="2394FC8E" w:rsidRPr="544F42F5">
        <w:rPr>
          <w:sz w:val="24"/>
          <w:szCs w:val="24"/>
        </w:rPr>
        <w:t xml:space="preserve">equipment with a unit cost of $10,000 or more and having a </w:t>
      </w:r>
      <w:r w:rsidR="0000088A" w:rsidRPr="544F42F5">
        <w:rPr>
          <w:sz w:val="24"/>
          <w:szCs w:val="24"/>
        </w:rPr>
        <w:t xml:space="preserve">useful </w:t>
      </w:r>
      <w:r w:rsidR="2394FC8E" w:rsidRPr="544F42F5">
        <w:rPr>
          <w:sz w:val="24"/>
          <w:szCs w:val="24"/>
        </w:rPr>
        <w:t>life of more</w:t>
      </w:r>
      <w:r w:rsidR="006D4D49" w:rsidRPr="544F42F5">
        <w:rPr>
          <w:sz w:val="24"/>
          <w:szCs w:val="24"/>
        </w:rPr>
        <w:t xml:space="preserve"> than one year</w:t>
      </w:r>
      <w:r w:rsidRPr="544F42F5">
        <w:rPr>
          <w:sz w:val="24"/>
          <w:szCs w:val="24"/>
        </w:rPr>
        <w:t xml:space="preserve">. </w:t>
      </w:r>
    </w:p>
    <w:p w14:paraId="176EEA34" w14:textId="3B102CC8" w:rsidR="00154993" w:rsidRPr="00154993" w:rsidRDefault="00154993" w:rsidP="00154993">
      <w:pPr>
        <w:pStyle w:val="NormalWeb"/>
        <w:rPr>
          <w:sz w:val="24"/>
          <w:szCs w:val="24"/>
        </w:rPr>
      </w:pPr>
      <w:r w:rsidRPr="00154993">
        <w:rPr>
          <w:sz w:val="24"/>
          <w:szCs w:val="24"/>
        </w:rPr>
        <w:t xml:space="preserve">The Finance Department </w:t>
      </w:r>
      <w:r w:rsidR="008C3BF0">
        <w:rPr>
          <w:sz w:val="24"/>
          <w:szCs w:val="24"/>
        </w:rPr>
        <w:t>will establish and maintain</w:t>
      </w:r>
      <w:r w:rsidRPr="00154993">
        <w:rPr>
          <w:sz w:val="24"/>
          <w:szCs w:val="24"/>
        </w:rPr>
        <w:t xml:space="preserve"> a detailed list of capital assets that includes all required information to facilitate financial reporting for capital assets in accordance with generally accepted accounting principles</w:t>
      </w:r>
      <w:r w:rsidR="00F81A8A">
        <w:rPr>
          <w:sz w:val="24"/>
          <w:szCs w:val="24"/>
        </w:rPr>
        <w:t xml:space="preserve"> (GAAP)</w:t>
      </w:r>
      <w:r w:rsidRPr="00154993">
        <w:rPr>
          <w:sz w:val="24"/>
          <w:szCs w:val="24"/>
        </w:rPr>
        <w:t xml:space="preserve"> and Government Accounting Standards Board </w:t>
      </w:r>
      <w:r w:rsidR="00F81A8A">
        <w:rPr>
          <w:sz w:val="24"/>
          <w:szCs w:val="24"/>
        </w:rPr>
        <w:t xml:space="preserve">(GASB) </w:t>
      </w:r>
      <w:r w:rsidRPr="00154993">
        <w:rPr>
          <w:sz w:val="24"/>
          <w:szCs w:val="24"/>
        </w:rPr>
        <w:t>pronouncements</w:t>
      </w:r>
      <w:r w:rsidR="008C3BF0">
        <w:rPr>
          <w:sz w:val="24"/>
          <w:szCs w:val="24"/>
        </w:rPr>
        <w:t>,</w:t>
      </w:r>
      <w:r w:rsidRPr="00154993">
        <w:rPr>
          <w:sz w:val="24"/>
          <w:szCs w:val="24"/>
        </w:rPr>
        <w:t xml:space="preserve"> including:</w:t>
      </w:r>
    </w:p>
    <w:p w14:paraId="5B1867D2" w14:textId="3B9A71C6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asset category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land, land improvements, buildings, building improvements, and equipment;</w:t>
      </w:r>
    </w:p>
    <w:p w14:paraId="717A2D6F" w14:textId="6E83B335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location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school, department, building, room, etc.;</w:t>
      </w:r>
    </w:p>
    <w:p w14:paraId="37FAD41B" w14:textId="0E6A1747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identification number for equipment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tag number, serial number, barcode, or other number that specifically identifies the asset;</w:t>
      </w:r>
    </w:p>
    <w:p w14:paraId="3D1800E1" w14:textId="60449598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description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name, model number, size, color, etc.;</w:t>
      </w:r>
    </w:p>
    <w:p w14:paraId="133AFA26" w14:textId="4E13C6E0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method of acquisition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purchase (e.g., construction, lease-purchase, or trade) or donation;</w:t>
      </w:r>
    </w:p>
    <w:p w14:paraId="57CC7DFF" w14:textId="308D39B9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source of funding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fund used to purchase the asset;</w:t>
      </w:r>
    </w:p>
    <w:p w14:paraId="3DF9B6F0" w14:textId="69272476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acquisition date</w:t>
      </w:r>
      <w:r w:rsidR="002E5232">
        <w:rPr>
          <w:sz w:val="24"/>
          <w:szCs w:val="24"/>
        </w:rPr>
        <w:t xml:space="preserve"> – </w:t>
      </w:r>
      <w:r w:rsidRPr="00154993">
        <w:rPr>
          <w:sz w:val="24"/>
          <w:szCs w:val="24"/>
        </w:rPr>
        <w:t>month and year the asset was received or constructed;</w:t>
      </w:r>
    </w:p>
    <w:p w14:paraId="094930B3" w14:textId="0382F13A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purchase document number</w:t>
      </w:r>
      <w:r w:rsidR="002E5232">
        <w:rPr>
          <w:sz w:val="24"/>
          <w:szCs w:val="24"/>
        </w:rPr>
        <w:t xml:space="preserve"> – p</w:t>
      </w:r>
      <w:r w:rsidRPr="00154993">
        <w:rPr>
          <w:sz w:val="24"/>
          <w:szCs w:val="24"/>
        </w:rPr>
        <w:t>urchase order, voucher, or other document number that can be traced to documents that support the information recorded on the list;</w:t>
      </w:r>
    </w:p>
    <w:p w14:paraId="7C7C9F8B" w14:textId="21BE8607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actual cost, estimated historical cost, or donated acquisition value; and</w:t>
      </w:r>
    </w:p>
    <w:p w14:paraId="5DAC6E2F" w14:textId="25288C84" w:rsidR="00154993" w:rsidRPr="00154993" w:rsidRDefault="00154993" w:rsidP="00894FE8">
      <w:pPr>
        <w:pStyle w:val="NormalWeb"/>
        <w:numPr>
          <w:ilvl w:val="0"/>
          <w:numId w:val="5"/>
        </w:numPr>
        <w:rPr>
          <w:sz w:val="24"/>
          <w:szCs w:val="24"/>
        </w:rPr>
      </w:pPr>
      <w:r w:rsidRPr="00154993">
        <w:rPr>
          <w:sz w:val="24"/>
          <w:szCs w:val="24"/>
        </w:rPr>
        <w:t>depreciation information for each depreciable asset.</w:t>
      </w:r>
    </w:p>
    <w:p w14:paraId="54130F90" w14:textId="7439D492" w:rsidR="00154993" w:rsidRPr="00154993" w:rsidRDefault="00154993" w:rsidP="00154993">
      <w:pPr>
        <w:pStyle w:val="NormalWeb"/>
        <w:rPr>
          <w:sz w:val="24"/>
          <w:szCs w:val="24"/>
        </w:rPr>
      </w:pPr>
      <w:r w:rsidRPr="00154993">
        <w:rPr>
          <w:sz w:val="24"/>
          <w:szCs w:val="24"/>
        </w:rPr>
        <w:t xml:space="preserve">The Operations Department </w:t>
      </w:r>
      <w:r w:rsidR="0054714C">
        <w:rPr>
          <w:sz w:val="24"/>
          <w:szCs w:val="24"/>
        </w:rPr>
        <w:t>will establish and maintain</w:t>
      </w:r>
      <w:r w:rsidRPr="00154993">
        <w:rPr>
          <w:sz w:val="24"/>
          <w:szCs w:val="24"/>
        </w:rPr>
        <w:t xml:space="preserve"> a complete property control system to protect all </w:t>
      </w:r>
      <w:r w:rsidR="002E5232">
        <w:rPr>
          <w:sz w:val="24"/>
          <w:szCs w:val="24"/>
        </w:rPr>
        <w:t>D</w:t>
      </w:r>
      <w:r w:rsidRPr="00154993">
        <w:rPr>
          <w:sz w:val="24"/>
          <w:szCs w:val="24"/>
        </w:rPr>
        <w:t xml:space="preserve">istrict property. Internal control over </w:t>
      </w:r>
      <w:r w:rsidR="002E5232">
        <w:rPr>
          <w:sz w:val="24"/>
          <w:szCs w:val="24"/>
        </w:rPr>
        <w:t>D</w:t>
      </w:r>
      <w:r w:rsidRPr="00154993">
        <w:rPr>
          <w:sz w:val="24"/>
          <w:szCs w:val="24"/>
        </w:rPr>
        <w:t>istrict property shoul</w:t>
      </w:r>
      <w:r w:rsidR="008C3BF0">
        <w:rPr>
          <w:sz w:val="24"/>
          <w:szCs w:val="24"/>
        </w:rPr>
        <w:t>d, at a minimum</w:t>
      </w:r>
      <w:r w:rsidRPr="00154993">
        <w:rPr>
          <w:sz w:val="24"/>
          <w:szCs w:val="24"/>
        </w:rPr>
        <w:t>:</w:t>
      </w:r>
    </w:p>
    <w:p w14:paraId="59DB3C5D" w14:textId="6DDC5D43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safeguard property against theft and misuse</w:t>
      </w:r>
      <w:r w:rsidR="005D3C9D">
        <w:rPr>
          <w:sz w:val="24"/>
          <w:szCs w:val="24"/>
        </w:rPr>
        <w:t>;</w:t>
      </w:r>
    </w:p>
    <w:p w14:paraId="1BCD59A9" w14:textId="4BD32698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 xml:space="preserve">promote appropriate and efficient use of </w:t>
      </w:r>
      <w:r w:rsidR="009A49A1">
        <w:rPr>
          <w:sz w:val="24"/>
          <w:szCs w:val="24"/>
        </w:rPr>
        <w:t>D</w:t>
      </w:r>
      <w:r w:rsidRPr="00154993">
        <w:rPr>
          <w:sz w:val="24"/>
          <w:szCs w:val="24"/>
        </w:rPr>
        <w:t>istrict property;</w:t>
      </w:r>
    </w:p>
    <w:p w14:paraId="735685BB" w14:textId="1D0310C3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properly value, classify, and report capital assets;</w:t>
      </w:r>
    </w:p>
    <w:p w14:paraId="3A41A85C" w14:textId="19A6B9D8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accumulate data for effective planning for property acquisitions, replacements, and maintenance;</w:t>
      </w:r>
    </w:p>
    <w:p w14:paraId="7432360A" w14:textId="2C34655E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provide documentation for insurance purposes in the event of fire or other casualty loss;</w:t>
      </w:r>
    </w:p>
    <w:p w14:paraId="2A5C7188" w14:textId="4412D8F5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3D46B305">
        <w:rPr>
          <w:sz w:val="24"/>
          <w:szCs w:val="24"/>
        </w:rPr>
        <w:t xml:space="preserve">provide accurate information for </w:t>
      </w:r>
      <w:r w:rsidR="00CF7E72">
        <w:rPr>
          <w:sz w:val="24"/>
          <w:szCs w:val="24"/>
        </w:rPr>
        <w:t xml:space="preserve">appropriate </w:t>
      </w:r>
      <w:r w:rsidR="009A49A1" w:rsidRPr="3D46B305">
        <w:rPr>
          <w:sz w:val="24"/>
          <w:szCs w:val="24"/>
        </w:rPr>
        <w:t>D</w:t>
      </w:r>
      <w:r w:rsidRPr="3D46B305">
        <w:rPr>
          <w:sz w:val="24"/>
          <w:szCs w:val="24"/>
        </w:rPr>
        <w:t>istrict stakeholders;</w:t>
      </w:r>
    </w:p>
    <w:p w14:paraId="34E11696" w14:textId="1519E66D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 xml:space="preserve">assign </w:t>
      </w:r>
      <w:r w:rsidR="00C863AE">
        <w:rPr>
          <w:sz w:val="24"/>
          <w:szCs w:val="24"/>
        </w:rPr>
        <w:t xml:space="preserve">a </w:t>
      </w:r>
      <w:r w:rsidRPr="00154993">
        <w:rPr>
          <w:sz w:val="24"/>
          <w:szCs w:val="24"/>
        </w:rPr>
        <w:t>useful li</w:t>
      </w:r>
      <w:r w:rsidR="00C863AE">
        <w:rPr>
          <w:sz w:val="24"/>
          <w:szCs w:val="24"/>
        </w:rPr>
        <w:t>fe</w:t>
      </w:r>
      <w:r w:rsidRPr="00154993">
        <w:rPr>
          <w:sz w:val="24"/>
          <w:szCs w:val="24"/>
        </w:rPr>
        <w:t xml:space="preserve"> to assets to facilitate depreciation calculations;</w:t>
      </w:r>
    </w:p>
    <w:p w14:paraId="513FB9F9" w14:textId="171CE0BA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lastRenderedPageBreak/>
        <w:t>provide for an annual inventory of all capital assets based on the asset listings provided by the Finance Department;</w:t>
      </w:r>
    </w:p>
    <w:p w14:paraId="4D24CD08" w14:textId="49E607F3" w:rsidR="00154993" w:rsidRPr="00154993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notify the Finance Department of all dispositions of capital assets; and</w:t>
      </w:r>
    </w:p>
    <w:p w14:paraId="7D6C588D" w14:textId="18CBE0F4" w:rsidR="00C411F0" w:rsidRDefault="00154993" w:rsidP="00894FE8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154993">
        <w:rPr>
          <w:sz w:val="24"/>
          <w:szCs w:val="24"/>
        </w:rPr>
        <w:t>ensure compliance with federal guidelines as defined by each grantor agency for federally owned equipment and equipment purchased in whole or in part with federal monies.</w:t>
      </w:r>
    </w:p>
    <w:p w14:paraId="407BA57B" w14:textId="1DAEBAA7" w:rsidR="000911AD" w:rsidRPr="00A05810" w:rsidRDefault="000911AD" w:rsidP="00A05810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The Finance and Operations Departments may </w:t>
      </w:r>
      <w:r w:rsidR="002E36AF">
        <w:rPr>
          <w:sz w:val="24"/>
          <w:szCs w:val="24"/>
        </w:rPr>
        <w:t>establish</w:t>
      </w:r>
      <w:r w:rsidR="005D3C9D">
        <w:rPr>
          <w:sz w:val="24"/>
          <w:szCs w:val="24"/>
        </w:rPr>
        <w:t xml:space="preserve"> guidelines or protocols to </w:t>
      </w:r>
      <w:r w:rsidR="005D3C9D" w:rsidRPr="00A05810">
        <w:rPr>
          <w:sz w:val="24"/>
          <w:szCs w:val="24"/>
        </w:rPr>
        <w:t xml:space="preserve">implement this policy. </w:t>
      </w:r>
    </w:p>
    <w:p w14:paraId="64A0E384" w14:textId="77777777" w:rsidR="00A05810" w:rsidRPr="00A05810" w:rsidRDefault="0099546A" w:rsidP="00A05810">
      <w:pPr>
        <w:pStyle w:val="NoSpacing"/>
        <w:rPr>
          <w:rFonts w:ascii="Arial" w:hAnsi="Arial" w:cs="Arial"/>
        </w:rPr>
      </w:pPr>
      <w:r w:rsidRPr="00A05810">
        <w:rPr>
          <w:rFonts w:ascii="Arial" w:hAnsi="Arial" w:cs="Arial"/>
        </w:rPr>
        <w:t>Principals and site managers shall be accountable to the superintendent or designee for the maintenance of proper inventories at their sites.</w:t>
      </w:r>
    </w:p>
    <w:p w14:paraId="78F3E5F4" w14:textId="77777777" w:rsidR="00A05810" w:rsidRDefault="00A05810" w:rsidP="00A05810">
      <w:pPr>
        <w:pStyle w:val="NoSpacing"/>
      </w:pPr>
    </w:p>
    <w:p w14:paraId="4EB7245B" w14:textId="0B45344B" w:rsidR="0099546A" w:rsidRPr="003E6F11" w:rsidRDefault="0099546A" w:rsidP="00A05810">
      <w:pPr>
        <w:pStyle w:val="NoSpacing"/>
      </w:pPr>
      <w:r w:rsidRPr="00A05810">
        <w:rPr>
          <w:rFonts w:ascii="Arial" w:hAnsi="Arial" w:cs="Arial"/>
        </w:rPr>
        <w:t>Current practice codified 1995</w:t>
      </w:r>
      <w:r w:rsidRPr="00A05810">
        <w:rPr>
          <w:rFonts w:ascii="Arial" w:hAnsi="Arial" w:cs="Arial"/>
        </w:rPr>
        <w:br/>
        <w:t>Adopted:  May 22, 1995</w:t>
      </w:r>
      <w:r w:rsidRPr="00A05810">
        <w:rPr>
          <w:rFonts w:ascii="Arial" w:hAnsi="Arial" w:cs="Arial"/>
        </w:rPr>
        <w:br/>
        <w:t>Revised:  August 11, 1997</w:t>
      </w:r>
      <w:r w:rsidRPr="00A05810">
        <w:rPr>
          <w:rFonts w:ascii="Arial" w:hAnsi="Arial" w:cs="Arial"/>
        </w:rPr>
        <w:br/>
        <w:t>Revised:  June 26, 2000</w:t>
      </w:r>
    </w:p>
    <w:p w14:paraId="31F12ACD" w14:textId="41E5E30A" w:rsidR="007F117B" w:rsidRPr="003E6F11" w:rsidRDefault="007F117B" w:rsidP="00A05810">
      <w:pPr>
        <w:pStyle w:val="NoSpacing"/>
      </w:pPr>
      <w:r w:rsidRPr="00A05810">
        <w:rPr>
          <w:rFonts w:ascii="Arial" w:hAnsi="Arial" w:cs="Arial"/>
        </w:rPr>
        <w:t xml:space="preserve">Revised by Board: </w:t>
      </w:r>
      <w:r w:rsidR="00A05810">
        <w:rPr>
          <w:rFonts w:ascii="Arial" w:hAnsi="Arial" w:cs="Arial"/>
        </w:rPr>
        <w:t xml:space="preserve">May 13, 2025, effective July 1, 2025 </w:t>
      </w:r>
    </w:p>
    <w:p w14:paraId="4EB7245C" w14:textId="077809DD" w:rsidR="0099546A" w:rsidRPr="00572A17" w:rsidRDefault="0099546A" w:rsidP="0099546A">
      <w:pPr>
        <w:pStyle w:val="NormalWeb"/>
        <w:rPr>
          <w:sz w:val="24"/>
          <w:szCs w:val="24"/>
        </w:rPr>
      </w:pPr>
      <w:r w:rsidRPr="00572A17">
        <w:rPr>
          <w:sz w:val="24"/>
          <w:szCs w:val="24"/>
        </w:rPr>
        <w:t>LEGAL REF</w:t>
      </w:r>
      <w:r w:rsidR="007F117B">
        <w:rPr>
          <w:sz w:val="24"/>
          <w:szCs w:val="24"/>
        </w:rPr>
        <w:t>ERENCE</w:t>
      </w:r>
      <w:r w:rsidR="0004050D">
        <w:rPr>
          <w:sz w:val="24"/>
          <w:szCs w:val="24"/>
        </w:rPr>
        <w:t>S</w:t>
      </w:r>
      <w:r w:rsidRPr="00572A17">
        <w:rPr>
          <w:sz w:val="24"/>
          <w:szCs w:val="24"/>
        </w:rPr>
        <w:t xml:space="preserve">:   </w:t>
      </w:r>
      <w:r w:rsidRPr="00572A17">
        <w:rPr>
          <w:sz w:val="24"/>
          <w:szCs w:val="24"/>
        </w:rPr>
        <w:br/>
        <w:t>C.R.S. 29-1-506(1)</w:t>
      </w:r>
    </w:p>
    <w:p w14:paraId="4EB7245D" w14:textId="77777777" w:rsidR="00C863AE" w:rsidRPr="00264A40" w:rsidRDefault="00C863AE">
      <w:pPr>
        <w:rPr>
          <w:rFonts w:ascii="Arial" w:hAnsi="Arial" w:cs="Arial"/>
          <w:b/>
          <w:bCs/>
        </w:rPr>
      </w:pPr>
    </w:p>
    <w:sectPr w:rsidR="00C863AE" w:rsidRPr="00264A40" w:rsidSect="005A1EF5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69D4" w14:textId="77777777" w:rsidR="00E9165B" w:rsidRDefault="00E9165B" w:rsidP="0046566E">
      <w:r>
        <w:separator/>
      </w:r>
    </w:p>
  </w:endnote>
  <w:endnote w:type="continuationSeparator" w:id="0">
    <w:p w14:paraId="74F317A8" w14:textId="77777777" w:rsidR="00E9165B" w:rsidRDefault="00E9165B" w:rsidP="0046566E">
      <w:r>
        <w:continuationSeparator/>
      </w:r>
    </w:p>
  </w:endnote>
  <w:endnote w:type="continuationNotice" w:id="1">
    <w:p w14:paraId="168E56B7" w14:textId="77777777" w:rsidR="00E9165B" w:rsidRDefault="00E91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2463" w14:textId="77777777" w:rsidR="009E77AF" w:rsidRDefault="009E77AF" w:rsidP="009E77AF">
    <w:pPr>
      <w:pStyle w:val="Footer"/>
      <w:jc w:val="right"/>
    </w:pPr>
    <w:r w:rsidRPr="005115BF">
      <w:rPr>
        <w:rFonts w:ascii="Arial" w:hAnsi="Arial" w:cs="Arial"/>
      </w:rPr>
      <w:t xml:space="preserve">Page </w:t>
    </w:r>
    <w:r w:rsidRPr="005115BF">
      <w:rPr>
        <w:rFonts w:ascii="Arial" w:hAnsi="Arial" w:cs="Arial"/>
      </w:rPr>
      <w:fldChar w:fldCharType="begin"/>
    </w:r>
    <w:r w:rsidRPr="005115BF">
      <w:rPr>
        <w:rFonts w:ascii="Arial" w:hAnsi="Arial" w:cs="Arial"/>
      </w:rPr>
      <w:instrText xml:space="preserve"> PAGE </w:instrText>
    </w:r>
    <w:r w:rsidRPr="005115B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115BF">
      <w:rPr>
        <w:rFonts w:ascii="Arial" w:hAnsi="Arial" w:cs="Arial"/>
      </w:rPr>
      <w:fldChar w:fldCharType="end"/>
    </w:r>
    <w:r w:rsidRPr="005115BF">
      <w:rPr>
        <w:rFonts w:ascii="Arial" w:hAnsi="Arial" w:cs="Arial"/>
      </w:rPr>
      <w:t xml:space="preserve"> of </w:t>
    </w:r>
    <w:r w:rsidRPr="005115BF">
      <w:rPr>
        <w:rFonts w:ascii="Arial" w:hAnsi="Arial" w:cs="Arial"/>
      </w:rPr>
      <w:fldChar w:fldCharType="begin"/>
    </w:r>
    <w:r w:rsidRPr="005115BF">
      <w:rPr>
        <w:rFonts w:ascii="Arial" w:hAnsi="Arial" w:cs="Arial"/>
      </w:rPr>
      <w:instrText xml:space="preserve"> NUMPAGES  </w:instrText>
    </w:r>
    <w:r w:rsidRPr="005115B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115BF">
      <w:rPr>
        <w:rFonts w:ascii="Arial" w:hAnsi="Arial" w:cs="Arial"/>
      </w:rPr>
      <w:fldChar w:fldCharType="end"/>
    </w:r>
  </w:p>
  <w:p w14:paraId="4EB72464" w14:textId="77777777" w:rsidR="005A1EF5" w:rsidRDefault="005A1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D555" w14:textId="77777777" w:rsidR="00E9165B" w:rsidRDefault="00E9165B" w:rsidP="0046566E">
      <w:r>
        <w:separator/>
      </w:r>
    </w:p>
  </w:footnote>
  <w:footnote w:type="continuationSeparator" w:id="0">
    <w:p w14:paraId="1100C155" w14:textId="77777777" w:rsidR="00E9165B" w:rsidRDefault="00E9165B" w:rsidP="0046566E">
      <w:r>
        <w:continuationSeparator/>
      </w:r>
    </w:p>
  </w:footnote>
  <w:footnote w:type="continuationNotice" w:id="1">
    <w:p w14:paraId="213D8B89" w14:textId="77777777" w:rsidR="00E9165B" w:rsidRDefault="00E91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2462" w14:textId="77777777" w:rsidR="005A1EF5" w:rsidRPr="005A1EF5" w:rsidRDefault="005A1EF5" w:rsidP="005A1EF5">
    <w:pPr>
      <w:pStyle w:val="Header"/>
    </w:pPr>
    <w:r w:rsidRPr="005A1EF5">
      <w:rPr>
        <w:noProof/>
      </w:rPr>
      <w:drawing>
        <wp:anchor distT="0" distB="182880" distL="118745" distR="118745" simplePos="0" relativeHeight="251658240" behindDoc="1" locked="1" layoutInCell="1" allowOverlap="1" wp14:anchorId="4EB72465" wp14:editId="4EB72466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772400" cy="1371600"/>
          <wp:effectExtent l="19050" t="0" r="0" b="0"/>
          <wp:wrapTopAndBottom/>
          <wp:docPr id="1" name="Picture 1" descr="leg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66D2"/>
    <w:multiLevelType w:val="hybridMultilevel"/>
    <w:tmpl w:val="C59E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37DA"/>
    <w:multiLevelType w:val="hybridMultilevel"/>
    <w:tmpl w:val="89FC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A7F"/>
    <w:multiLevelType w:val="hybridMultilevel"/>
    <w:tmpl w:val="A25C311E"/>
    <w:lvl w:ilvl="0" w:tplc="9EB8631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5BA0"/>
    <w:multiLevelType w:val="hybridMultilevel"/>
    <w:tmpl w:val="9696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7D7"/>
    <w:multiLevelType w:val="hybridMultilevel"/>
    <w:tmpl w:val="9A82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86254">
    <w:abstractNumId w:val="4"/>
  </w:num>
  <w:num w:numId="2" w16cid:durableId="836337432">
    <w:abstractNumId w:val="1"/>
  </w:num>
  <w:num w:numId="3" w16cid:durableId="1252397970">
    <w:abstractNumId w:val="3"/>
  </w:num>
  <w:num w:numId="4" w16cid:durableId="1766807342">
    <w:abstractNumId w:val="2"/>
  </w:num>
  <w:num w:numId="5" w16cid:durableId="170525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3C3"/>
    <w:rsid w:val="0000088A"/>
    <w:rsid w:val="00003CE5"/>
    <w:rsid w:val="0004050D"/>
    <w:rsid w:val="000911AD"/>
    <w:rsid w:val="000933CB"/>
    <w:rsid w:val="000C36B4"/>
    <w:rsid w:val="00125BB7"/>
    <w:rsid w:val="00154993"/>
    <w:rsid w:val="00164AE5"/>
    <w:rsid w:val="0022644D"/>
    <w:rsid w:val="00233D5F"/>
    <w:rsid w:val="00264A40"/>
    <w:rsid w:val="0026704F"/>
    <w:rsid w:val="002872D7"/>
    <w:rsid w:val="002B1180"/>
    <w:rsid w:val="002E2FCA"/>
    <w:rsid w:val="002E36AF"/>
    <w:rsid w:val="002E5232"/>
    <w:rsid w:val="00335F93"/>
    <w:rsid w:val="0034695B"/>
    <w:rsid w:val="0035390D"/>
    <w:rsid w:val="0038175A"/>
    <w:rsid w:val="003D46AE"/>
    <w:rsid w:val="003E6F11"/>
    <w:rsid w:val="004362EC"/>
    <w:rsid w:val="0046566E"/>
    <w:rsid w:val="00476C18"/>
    <w:rsid w:val="004946FF"/>
    <w:rsid w:val="004955E2"/>
    <w:rsid w:val="004B6B6B"/>
    <w:rsid w:val="004E3DF4"/>
    <w:rsid w:val="004F7220"/>
    <w:rsid w:val="0051615E"/>
    <w:rsid w:val="0054714C"/>
    <w:rsid w:val="005754B7"/>
    <w:rsid w:val="00581E2D"/>
    <w:rsid w:val="00584B73"/>
    <w:rsid w:val="00585C43"/>
    <w:rsid w:val="005A1EF5"/>
    <w:rsid w:val="005D3C9D"/>
    <w:rsid w:val="00634797"/>
    <w:rsid w:val="00641958"/>
    <w:rsid w:val="00683F66"/>
    <w:rsid w:val="00693927"/>
    <w:rsid w:val="006D4D49"/>
    <w:rsid w:val="0070681B"/>
    <w:rsid w:val="007A7518"/>
    <w:rsid w:val="007B35E4"/>
    <w:rsid w:val="007F117B"/>
    <w:rsid w:val="008077DB"/>
    <w:rsid w:val="00852D74"/>
    <w:rsid w:val="0085493F"/>
    <w:rsid w:val="00887695"/>
    <w:rsid w:val="00894FE8"/>
    <w:rsid w:val="008C3952"/>
    <w:rsid w:val="008C3BF0"/>
    <w:rsid w:val="0094002B"/>
    <w:rsid w:val="009842F6"/>
    <w:rsid w:val="009874BF"/>
    <w:rsid w:val="0099546A"/>
    <w:rsid w:val="009A49A1"/>
    <w:rsid w:val="009D3DC4"/>
    <w:rsid w:val="009E77AF"/>
    <w:rsid w:val="00A05810"/>
    <w:rsid w:val="00A115BE"/>
    <w:rsid w:val="00A1194B"/>
    <w:rsid w:val="00B129AD"/>
    <w:rsid w:val="00B25DA9"/>
    <w:rsid w:val="00B546D9"/>
    <w:rsid w:val="00C173EF"/>
    <w:rsid w:val="00C26EA5"/>
    <w:rsid w:val="00C36584"/>
    <w:rsid w:val="00C411F0"/>
    <w:rsid w:val="00C50964"/>
    <w:rsid w:val="00C53BC8"/>
    <w:rsid w:val="00C863AE"/>
    <w:rsid w:val="00CC606B"/>
    <w:rsid w:val="00CF7E72"/>
    <w:rsid w:val="00D15DE7"/>
    <w:rsid w:val="00D404B8"/>
    <w:rsid w:val="00DA7667"/>
    <w:rsid w:val="00E313C3"/>
    <w:rsid w:val="00E9165B"/>
    <w:rsid w:val="00EE6C4C"/>
    <w:rsid w:val="00F81A8A"/>
    <w:rsid w:val="00FF57EA"/>
    <w:rsid w:val="2394FC8E"/>
    <w:rsid w:val="3784A6F4"/>
    <w:rsid w:val="3D46B305"/>
    <w:rsid w:val="4446E7B3"/>
    <w:rsid w:val="544F42F5"/>
    <w:rsid w:val="592FB3EC"/>
    <w:rsid w:val="61EDFE17"/>
    <w:rsid w:val="6A9A2C06"/>
    <w:rsid w:val="6BF89FBC"/>
    <w:rsid w:val="76DE9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72458"/>
  <w15:docId w15:val="{214F668C-0D38-45B6-8C65-E2C412A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6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AE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4A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AE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4AE5"/>
    <w:rPr>
      <w:sz w:val="24"/>
      <w:szCs w:val="24"/>
    </w:rPr>
  </w:style>
  <w:style w:type="paragraph" w:styleId="NormalWeb">
    <w:name w:val="Normal (Web)"/>
    <w:basedOn w:val="Normal"/>
    <w:rsid w:val="00164AE5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Revision">
    <w:name w:val="Revision"/>
    <w:hidden/>
    <w:uiPriority w:val="99"/>
    <w:semiHidden/>
    <w:rsid w:val="004362E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F117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23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23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D46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667C9E795DA4883184CFB4C07DC43" ma:contentTypeVersion="17" ma:contentTypeDescription="Create a new document." ma:contentTypeScope="" ma:versionID="53883b2f46694de3afe0b8e9aa6dc3f4">
  <xsd:schema xmlns:xsd="http://www.w3.org/2001/XMLSchema" xmlns:xs="http://www.w3.org/2001/XMLSchema" xmlns:p="http://schemas.microsoft.com/office/2006/metadata/properties" xmlns:ns2="269cf06d-d27b-4f80-903c-e41f6f8ba909" xmlns:ns3="bef925e8-fb5e-48f0-82fb-ba4c77b88b8a" targetNamespace="http://schemas.microsoft.com/office/2006/metadata/properties" ma:root="true" ma:fieldsID="fe941c86572d2c856a263f67a43cd3a1" ns2:_="" ns3:_="">
    <xsd:import namespace="269cf06d-d27b-4f80-903c-e41f6f8ba909"/>
    <xsd:import namespace="bef925e8-fb5e-48f0-82fb-ba4c77b88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f06d-d27b-4f80-903c-e41f6f8b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b9bca-2247-49a0-b372-47d39111b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25e8-fb5e-48f0-82fb-ba4c77b88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b4c93d-f74c-45e7-9309-0b5a7b6131c0}" ma:internalName="TaxCatchAll" ma:showField="CatchAllData" ma:web="bef925e8-fb5e-48f0-82fb-ba4c77b88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60CAF-2F63-41D8-85D9-F442CAAAC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8B65A-5A9C-4BE1-B9B4-CB18F4C6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cf06d-d27b-4f80-903c-e41f6f8ba909"/>
    <ds:schemaRef ds:uri="bef925e8-fb5e-48f0-82fb-ba4c77b8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35</TotalTime>
  <Pages>2</Pages>
  <Words>439</Words>
  <Characters>2587</Characters>
  <Application>Microsoft Office Word</Application>
  <DocSecurity>0</DocSecurity>
  <Lines>58</Lines>
  <Paragraphs>19</Paragraphs>
  <ScaleCrop>false</ScaleCrop>
  <Company>Poudre School District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JSSC Complex</dc:creator>
  <cp:keywords/>
  <cp:lastModifiedBy>Aspen, Autumn - SSC</cp:lastModifiedBy>
  <cp:revision>39</cp:revision>
  <cp:lastPrinted>2025-03-17T20:37:00Z</cp:lastPrinted>
  <dcterms:created xsi:type="dcterms:W3CDTF">2010-08-24T01:14:00Z</dcterms:created>
  <dcterms:modified xsi:type="dcterms:W3CDTF">2025-05-13T19:47:00Z</dcterms:modified>
</cp:coreProperties>
</file>